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0D0788" w:rsidRDefault="00133837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Załącznik 3</w:t>
      </w:r>
    </w:p>
    <w:p w14:paraId="00000002" w14:textId="77777777" w:rsidR="000D0788" w:rsidRDefault="00133837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do Regulaminu </w:t>
      </w:r>
    </w:p>
    <w:p w14:paraId="00000003" w14:textId="77777777" w:rsidR="000D0788" w:rsidRDefault="00133837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Olimpiady Wiedzy Motoryzacyjnej </w:t>
      </w:r>
    </w:p>
    <w:p w14:paraId="00000004" w14:textId="77777777" w:rsidR="000D0788" w:rsidRDefault="000D0788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14:paraId="00000005" w14:textId="77777777" w:rsidR="000D0788" w:rsidRDefault="000D07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6" w14:textId="511593C0" w:rsidR="000D0788" w:rsidRDefault="00133837">
      <w:pPr>
        <w:spacing w:after="0" w:line="240" w:lineRule="auto"/>
        <w:jc w:val="center"/>
        <w:rPr>
          <w:rFonts w:ascii="Arial" w:eastAsia="Arial" w:hAnsi="Arial" w:cs="Arial"/>
          <w:b/>
          <w:bCs/>
          <w:color w:val="002060"/>
          <w:sz w:val="28"/>
          <w:szCs w:val="28"/>
        </w:rPr>
      </w:pPr>
      <w:r>
        <w:rPr>
          <w:rFonts w:ascii="Arial" w:eastAsia="Arial" w:hAnsi="Arial" w:cs="Arial"/>
          <w:b/>
          <w:bCs/>
          <w:color w:val="002060"/>
          <w:sz w:val="28"/>
          <w:szCs w:val="28"/>
        </w:rPr>
        <w:t xml:space="preserve">Sposób realizacji II etapu i III etapu </w:t>
      </w:r>
      <w:r>
        <w:rPr>
          <w:rFonts w:ascii="Arial" w:eastAsia="Arial" w:hAnsi="Arial" w:cs="Arial"/>
          <w:b/>
          <w:bCs/>
          <w:color w:val="002060"/>
          <w:sz w:val="28"/>
          <w:szCs w:val="28"/>
        </w:rPr>
        <w:br/>
        <w:t>Olimpiady Wiedzy Motoryzacyjnej</w:t>
      </w:r>
    </w:p>
    <w:p w14:paraId="00000007" w14:textId="77777777" w:rsidR="000D0788" w:rsidRDefault="000D0788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00000008" w14:textId="43D1FF19" w:rsidR="000D0788" w:rsidRDefault="0013383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ETAP II </w:t>
      </w:r>
    </w:p>
    <w:p w14:paraId="00000009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Zawody II stopnia (półfinał) Olimpiady Wiedzy Motoryzacyjnej w formie stacjonarnej odbędą się na Międzynarodowych Targach Poznańskich.</w:t>
      </w:r>
    </w:p>
    <w:p w14:paraId="0000000A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Zawartość merytoryczną testu przygotowuje Komitet Główny olimpiady.</w:t>
      </w:r>
    </w:p>
    <w:p w14:paraId="0000000B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Każde pytanie zawiera cztery odpowiedzi, z których tylko jedna jest prawidłowa.</w:t>
      </w:r>
    </w:p>
    <w:p w14:paraId="0000000C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Ostateczny wybór pytań do zestawu i ich ocenę punktową (1, 2 lub 3 punkty) zatwierdza Komitet Główny olimpiady.</w:t>
      </w:r>
    </w:p>
    <w:p w14:paraId="0000000D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Zakres pytań odpowiada tematyce olimpiady określonej w regulaminie.</w:t>
      </w:r>
    </w:p>
    <w:p w14:paraId="0000000E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Test składa się z 40 pytań o wartości 80 punktów.</w:t>
      </w:r>
    </w:p>
    <w:p w14:paraId="0000000F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Czas pisania testu wynosi 45 minut.</w:t>
      </w:r>
    </w:p>
    <w:p w14:paraId="00000010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Podczas rozwiązywania testu nie wolno korzystać z telefonów komórkowych, podręczników, słowników i ani żadnych innych pomocy, w tym także elektronicznych. Obliczenia pomocnicze uczestnik może prowadzić ręcznie na dodatkowej, czystej kartce papieru załączonej do testu.</w:t>
      </w:r>
    </w:p>
    <w:p w14:paraId="00000011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Weryfikacja poprawności odpowiedzi testowych odbywa się poprzez sprawdzenie odpowiedzi i zsumowanie punktów odpowiedzi.</w:t>
      </w:r>
    </w:p>
    <w:p w14:paraId="00000012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Wyniki są weryfikowane i zatwierdzane przez Komisję Egzaminacyjną.</w:t>
      </w:r>
    </w:p>
    <w:p w14:paraId="00000013" w14:textId="20BB7DE3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Do III (ostatniego) etapu przechodzi 10 uczniów, którzy uzyskali największą liczbę punktów ze sprawdzianu testowego w zawodach II stopnia. Jeżeli najmniejszą liczbę punktów kwalifikującą w danej edycji olimpiady do zajęcia miejsca wśród 10 finalistów zdobyło więcej uczniów niż pozostało miejsc dla uzyskujących taką liczbę punktów, liczba </w:t>
      </w:r>
      <w:r w:rsidR="00627EEB">
        <w:rPr>
          <w:rFonts w:ascii="Arial" w:eastAsia="Arial" w:hAnsi="Arial" w:cs="Arial"/>
          <w:color w:val="000000"/>
          <w:sz w:val="24"/>
          <w:szCs w:val="24"/>
        </w:rPr>
        <w:t>uczestników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ulega odpowiedniemu zwiększeniu i wszyscy ci uczniowie przechodzą do III etapu.</w:t>
      </w:r>
    </w:p>
    <w:p w14:paraId="00000014" w14:textId="77777777" w:rsidR="000D0788" w:rsidRDefault="0013383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426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Wyniki II etapu olimpiady Komitet Główny ogłasza na stronach internetowych organizatorów olimpiady w terminie do 3 dni od dnia napisania testu.</w:t>
      </w:r>
    </w:p>
    <w:p w14:paraId="00000015" w14:textId="77777777" w:rsidR="000D0788" w:rsidRDefault="000D0788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14:paraId="00000016" w14:textId="6A342D75" w:rsidR="000D0788" w:rsidRDefault="00133837">
      <w:pPr>
        <w:spacing w:after="0" w:line="240" w:lineRule="auto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ETAP III </w:t>
      </w:r>
      <w:bookmarkStart w:id="0" w:name="_GoBack"/>
      <w:bookmarkEnd w:id="0"/>
    </w:p>
    <w:p w14:paraId="00000017" w14:textId="77777777" w:rsidR="000D0788" w:rsidRDefault="00133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4"/>
          <w:szCs w:val="24"/>
        </w:rPr>
        <w:t>Zawody II stopnia (półfinał) Olimpiady Wiedzy Motoryzacyjnej w formie stacjonarnej odbywają się odbędą się na Międzynarodowych Targach Poznańskich.</w:t>
      </w:r>
    </w:p>
    <w:p w14:paraId="00000018" w14:textId="77777777" w:rsidR="000D0788" w:rsidRDefault="0013383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Arial" w:eastAsia="Arial" w:hAnsi="Arial" w:cs="Arial"/>
          <w:color w:val="000000"/>
        </w:rPr>
      </w:pPr>
      <w:bookmarkStart w:id="1" w:name="_hncpztg1rh0b" w:colFirst="0" w:colLast="0"/>
      <w:bookmarkEnd w:id="1"/>
      <w:r>
        <w:rPr>
          <w:rFonts w:ascii="Arial" w:eastAsia="Arial" w:hAnsi="Arial" w:cs="Arial"/>
          <w:color w:val="000000"/>
          <w:sz w:val="24"/>
          <w:szCs w:val="24"/>
        </w:rPr>
        <w:t>Test i sprawdzian praktyczny III etapu przygotowują organizatorzy olimpiady.</w:t>
      </w:r>
    </w:p>
    <w:sectPr w:rsidR="000D0788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10E4E6A-5F1D-4FA7-B7AC-E0A84E78085F}"/>
    <w:embedBold r:id="rId2" w:fontKey="{1D112BAA-3B76-43CC-8EAF-4329C589E47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70CBEA0-2D60-4ACD-BB18-BFD1ADB9783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32615BE9-7BAB-46A2-B8CE-A1964AD8B8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52F57"/>
    <w:multiLevelType w:val="multilevel"/>
    <w:tmpl w:val="AFBA074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4546A"/>
    <w:multiLevelType w:val="multilevel"/>
    <w:tmpl w:val="75F6F1A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0788"/>
    <w:rsid w:val="000D0788"/>
    <w:rsid w:val="00133837"/>
    <w:rsid w:val="00627EEB"/>
    <w:rsid w:val="00D3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198C7"/>
  <w15:docId w15:val="{A29CF3C3-8C43-4DA6-B50D-37BFDF3D6F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280</Words>
  <Characters>1681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Kobaszyńska-Twardowska</dc:creator>
  <cp:lastModifiedBy>Anna Kobaszyńska-Twardowska</cp:lastModifiedBy>
  <cp:revision>2</cp:revision>
  <dcterms:created xsi:type="dcterms:W3CDTF">2026-02-05T09:54:00Z</dcterms:created>
  <dcterms:modified xsi:type="dcterms:W3CDTF">2026-02-05T09:54:00Z</dcterms:modified>
</cp:coreProperties>
</file>